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0C2AD2F9" w:rsidR="00A20605" w:rsidRPr="004935EE" w:rsidRDefault="00D53A4B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A8CD2E" wp14:editId="17AA3E7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3703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114" y="21333"/>
                <wp:lineTo x="21114" y="0"/>
                <wp:lineTo x="0" y="0"/>
              </wp:wrapPolygon>
            </wp:wrapTight>
            <wp:docPr id="2" name="Picture 2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4"/>
        </w:rPr>
        <w:t>Theatre of Action</w:t>
      </w:r>
      <w:r w:rsidR="007D327E">
        <w:rPr>
          <w:rFonts w:ascii="Arial" w:hAnsi="Arial" w:cs="Arial"/>
          <w:b/>
          <w:sz w:val="44"/>
        </w:rPr>
        <w:t xml:space="preserve"> </w:t>
      </w:r>
      <w:r w:rsidR="006C7620">
        <w:rPr>
          <w:rFonts w:ascii="Arial" w:hAnsi="Arial" w:cs="Arial"/>
          <w:b/>
          <w:sz w:val="44"/>
        </w:rPr>
        <w:t>–</w:t>
      </w:r>
      <w:r>
        <w:rPr>
          <w:rFonts w:ascii="Arial" w:hAnsi="Arial" w:cs="Arial"/>
          <w:b/>
          <w:sz w:val="44"/>
        </w:rPr>
        <w:t xml:space="preserve"> Joan Littlewood</w:t>
      </w:r>
      <w:r w:rsidR="00696F43">
        <w:rPr>
          <w:rFonts w:ascii="Arial" w:hAnsi="Arial" w:cs="Arial"/>
          <w:b/>
          <w:sz w:val="44"/>
        </w:rPr>
        <w:t xml:space="preserve"> </w:t>
      </w:r>
    </w:p>
    <w:p w14:paraId="44A5DCD4" w14:textId="77777777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2C87FB6A" w14:textId="1EF2AB39" w:rsidR="00BA7CB0" w:rsidRDefault="004935EE" w:rsidP="00412AFD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D53A4B">
        <w:rPr>
          <w:rFonts w:ascii="Arial" w:hAnsi="Arial" w:cs="Arial"/>
          <w:i/>
          <w:sz w:val="28"/>
          <w:szCs w:val="28"/>
        </w:rPr>
        <w:t xml:space="preserve">Rejected standard form of social content </w:t>
      </w:r>
    </w:p>
    <w:p w14:paraId="68E6B391" w14:textId="5D54100F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Experimental productions</w:t>
      </w:r>
    </w:p>
    <w:p w14:paraId="531A4935" w14:textId="790B54A6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Contemporary social issues</w:t>
      </w:r>
    </w:p>
    <w:p w14:paraId="2614BCB8" w14:textId="28793315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Working class audiences</w:t>
      </w:r>
    </w:p>
    <w:p w14:paraId="7B7D9D17" w14:textId="77777777" w:rsidR="007D327E" w:rsidRPr="00B43C45" w:rsidRDefault="007D327E" w:rsidP="00B43C45">
      <w:pPr>
        <w:rPr>
          <w:rFonts w:ascii="Arial" w:hAnsi="Arial" w:cs="Arial"/>
          <w:i/>
          <w:sz w:val="28"/>
          <w:szCs w:val="28"/>
        </w:rPr>
      </w:pPr>
    </w:p>
    <w:p w14:paraId="0125A643" w14:textId="77777777" w:rsidR="004935EE" w:rsidRPr="00956D42" w:rsidRDefault="004935EE">
      <w:pPr>
        <w:rPr>
          <w:rFonts w:ascii="Arial" w:hAnsi="Arial" w:cs="Arial"/>
        </w:rPr>
      </w:pPr>
    </w:p>
    <w:p w14:paraId="15DF451A" w14:textId="77777777" w:rsidR="00360476" w:rsidRDefault="00360476">
      <w:pPr>
        <w:rPr>
          <w:rFonts w:ascii="Arial" w:hAnsi="Arial" w:cs="Arial"/>
          <w:b/>
          <w:sz w:val="28"/>
        </w:rPr>
      </w:pPr>
    </w:p>
    <w:p w14:paraId="1C6801ED" w14:textId="511779A9" w:rsidR="004935EE" w:rsidRPr="00956D42" w:rsidRDefault="00FD0A1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Agit-pop</w:t>
      </w:r>
      <w:r w:rsidR="004935EE" w:rsidRPr="00956D42">
        <w:rPr>
          <w:rFonts w:ascii="Arial" w:hAnsi="Arial" w:cs="Arial"/>
          <w:b/>
          <w:sz w:val="28"/>
        </w:rPr>
        <w:t>:</w:t>
      </w:r>
    </w:p>
    <w:p w14:paraId="0139DD18" w14:textId="65A44188" w:rsidR="007D327E" w:rsidRDefault="00FD0A13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Brand of theatre and activism politically</w:t>
      </w:r>
    </w:p>
    <w:p w14:paraId="6972F085" w14:textId="0DC5DDEB" w:rsidR="00FD0A13" w:rsidRDefault="00FD0A13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Agitation propaganda</w:t>
      </w:r>
    </w:p>
    <w:p w14:paraId="798210A7" w14:textId="5F0BA68E" w:rsidR="00FD0A13" w:rsidRDefault="00FD0A13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Soviet Russia</w:t>
      </w:r>
    </w:p>
    <w:p w14:paraId="7ADF2E99" w14:textId="76761C96" w:rsidR="00FD0A13" w:rsidRDefault="00FD0A13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Political themes and satire</w:t>
      </w:r>
    </w:p>
    <w:p w14:paraId="37D1A9BB" w14:textId="591A05BE" w:rsidR="00FD0A13" w:rsidRDefault="00FD0A13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 engagement with the audience</w:t>
      </w:r>
    </w:p>
    <w:p w14:paraId="6C2B6DA3" w14:textId="02619C9D" w:rsidR="00FD0A13" w:rsidRDefault="00FD0A13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Caricatures rather than developed characters</w:t>
      </w:r>
    </w:p>
    <w:p w14:paraId="565B29DB" w14:textId="2CF9A724" w:rsidR="00FD0A13" w:rsidRDefault="00FD0A13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Characters engaging in debate to promote a message</w:t>
      </w:r>
    </w:p>
    <w:p w14:paraId="52F6BE13" w14:textId="5EE6B6A4" w:rsidR="00B176B5" w:rsidRDefault="00B176B5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Street performed to reflect current affairs</w:t>
      </w:r>
    </w:p>
    <w:p w14:paraId="0C953387" w14:textId="1B99AA6E" w:rsidR="00437C2D" w:rsidRDefault="00437C2D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Theatre should be </w:t>
      </w:r>
      <w:r>
        <w:rPr>
          <w:rFonts w:ascii="Arial" w:hAnsi="Arial" w:cs="Arial"/>
          <w:i/>
        </w:rPr>
        <w:t>“sufficiently dynamic and forceful to break down all the artificialities which clog the ordinary cardboard stage…  (</w:t>
      </w:r>
      <w:proofErr w:type="gramStart"/>
      <w:r>
        <w:rPr>
          <w:rFonts w:ascii="Arial" w:hAnsi="Arial" w:cs="Arial"/>
          <w:i/>
        </w:rPr>
        <w:t>we</w:t>
      </w:r>
      <w:proofErr w:type="gramEnd"/>
      <w:r>
        <w:rPr>
          <w:rFonts w:ascii="Arial" w:hAnsi="Arial" w:cs="Arial"/>
          <w:i/>
        </w:rPr>
        <w:t xml:space="preserve"> must) destroy all the paraphernalia which litters and obscures the play.  We must strip the stage of all that is superfluous”</w:t>
      </w:r>
      <w:r>
        <w:rPr>
          <w:rFonts w:ascii="Arial" w:hAnsi="Arial" w:cs="Arial"/>
        </w:rPr>
        <w:t xml:space="preserve"> (-Joan Littlewood)</w:t>
      </w:r>
    </w:p>
    <w:p w14:paraId="5E06B5DA" w14:textId="6152669F" w:rsidR="00C20E89" w:rsidRDefault="00C20E89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Worker’s Theatre movement</w:t>
      </w:r>
    </w:p>
    <w:p w14:paraId="4691581E" w14:textId="77777777" w:rsidR="001600D9" w:rsidRPr="001600D9" w:rsidRDefault="001600D9" w:rsidP="001600D9">
      <w:pPr>
        <w:rPr>
          <w:rFonts w:ascii="Arial" w:hAnsi="Arial" w:cs="Arial"/>
        </w:rPr>
      </w:pPr>
    </w:p>
    <w:p w14:paraId="5C219EC7" w14:textId="657EFB9B" w:rsidR="001600D9" w:rsidRPr="001600D9" w:rsidRDefault="001600D9" w:rsidP="001600D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Theatre Union</w:t>
      </w:r>
      <w:r w:rsidRPr="001600D9">
        <w:rPr>
          <w:rFonts w:ascii="Arial" w:hAnsi="Arial" w:cs="Arial"/>
          <w:b/>
          <w:sz w:val="28"/>
        </w:rPr>
        <w:t>:</w:t>
      </w:r>
    </w:p>
    <w:p w14:paraId="74D50947" w14:textId="5917824C" w:rsidR="00FB2DCB" w:rsidRDefault="00FB2DCB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Theatre Union</w:t>
      </w:r>
      <w:r w:rsidR="003105E2">
        <w:rPr>
          <w:rFonts w:ascii="Arial" w:hAnsi="Arial" w:cs="Arial"/>
        </w:rPr>
        <w:t>; The Theatre must face up to the problems of its time</w:t>
      </w:r>
    </w:p>
    <w:p w14:paraId="2ECB0556" w14:textId="3D9873EF" w:rsidR="001600D9" w:rsidRDefault="001600D9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Rather than politics, Theatre Union was about experimentation</w:t>
      </w:r>
    </w:p>
    <w:p w14:paraId="27C49C13" w14:textId="3CA43B27" w:rsidR="0036334F" w:rsidRDefault="0036334F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Pioneered European avant-garde</w:t>
      </w:r>
    </w:p>
    <w:p w14:paraId="04810E59" w14:textId="4BC351D5" w:rsidR="00687EF3" w:rsidRDefault="00687EF3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Heavily researched based</w:t>
      </w:r>
      <w:bookmarkStart w:id="0" w:name="_GoBack"/>
      <w:bookmarkEnd w:id="0"/>
    </w:p>
    <w:p w14:paraId="288AAB65" w14:textId="77777777" w:rsidR="00D53A4B" w:rsidRPr="00FD0A13" w:rsidRDefault="00D53A4B" w:rsidP="00D53A4B">
      <w:pPr>
        <w:ind w:left="360"/>
        <w:rPr>
          <w:rFonts w:ascii="Arial" w:hAnsi="Arial" w:cs="Arial"/>
        </w:rPr>
      </w:pPr>
    </w:p>
    <w:p w14:paraId="1F14F215" w14:textId="5151525D" w:rsidR="009D0FAD" w:rsidRPr="00FD0A13" w:rsidRDefault="00FD0A13" w:rsidP="00FD0A13">
      <w:pPr>
        <w:rPr>
          <w:rFonts w:ascii="Arial" w:hAnsi="Arial" w:cs="Arial"/>
        </w:rPr>
      </w:pPr>
      <w:hyperlink r:id="rId7" w:history="1">
        <w:r w:rsidRPr="00FD0A13">
          <w:rPr>
            <w:rStyle w:val="Hyperlink"/>
            <w:rFonts w:ascii="Arial" w:hAnsi="Arial" w:cs="Arial"/>
          </w:rPr>
          <w:t>https://www.bl.uk/20th-century-literature/articles/an-introduction-to-joan-littlewoods-theatre-practice</w:t>
        </w:r>
      </w:hyperlink>
      <w:r w:rsidRPr="00FD0A13">
        <w:rPr>
          <w:rFonts w:ascii="Arial" w:hAnsi="Arial" w:cs="Arial"/>
        </w:rPr>
        <w:t xml:space="preserve"> </w:t>
      </w:r>
    </w:p>
    <w:sectPr w:rsidR="009D0FAD" w:rsidRPr="00FD0A13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1600D9"/>
    <w:rsid w:val="0023257A"/>
    <w:rsid w:val="003105E2"/>
    <w:rsid w:val="00360476"/>
    <w:rsid w:val="0036334F"/>
    <w:rsid w:val="003764F7"/>
    <w:rsid w:val="003B6699"/>
    <w:rsid w:val="00412AFD"/>
    <w:rsid w:val="00437C2D"/>
    <w:rsid w:val="004935EE"/>
    <w:rsid w:val="004E5BAA"/>
    <w:rsid w:val="00555424"/>
    <w:rsid w:val="00687EF3"/>
    <w:rsid w:val="00696F43"/>
    <w:rsid w:val="006C7620"/>
    <w:rsid w:val="006E5D2C"/>
    <w:rsid w:val="007D327E"/>
    <w:rsid w:val="00814E92"/>
    <w:rsid w:val="00956D42"/>
    <w:rsid w:val="00957064"/>
    <w:rsid w:val="0099718E"/>
    <w:rsid w:val="009D0FAD"/>
    <w:rsid w:val="00A20605"/>
    <w:rsid w:val="00A4349A"/>
    <w:rsid w:val="00A94197"/>
    <w:rsid w:val="00B10BF6"/>
    <w:rsid w:val="00B13B2A"/>
    <w:rsid w:val="00B176B5"/>
    <w:rsid w:val="00B43401"/>
    <w:rsid w:val="00B43C45"/>
    <w:rsid w:val="00BA7CB0"/>
    <w:rsid w:val="00C20E89"/>
    <w:rsid w:val="00D456E3"/>
    <w:rsid w:val="00D53A4B"/>
    <w:rsid w:val="00E27850"/>
    <w:rsid w:val="00F10202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bl.uk/20th-century-literature/articles/an-introduction-to-joan-littlewoods-theatre-practic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1017</Characters>
  <Application>Microsoft Macintosh Word</Application>
  <DocSecurity>0</DocSecurity>
  <Lines>8</Lines>
  <Paragraphs>2</Paragraphs>
  <ScaleCrop>false</ScaleCrop>
  <Company>Australian College of Dramatic Arts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36</cp:revision>
  <dcterms:created xsi:type="dcterms:W3CDTF">2018-02-05T05:18:00Z</dcterms:created>
  <dcterms:modified xsi:type="dcterms:W3CDTF">2019-02-04T04:31:00Z</dcterms:modified>
</cp:coreProperties>
</file>